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B9394" w14:textId="3147B53D" w:rsidR="00310AC0" w:rsidRPr="00D329D0" w:rsidRDefault="00111B0D" w:rsidP="00D329D0">
      <w:pPr>
        <w:jc w:val="both"/>
        <w:rPr>
          <w:b/>
          <w:bCs/>
          <w:sz w:val="32"/>
          <w:szCs w:val="32"/>
        </w:rPr>
      </w:pPr>
      <w:r w:rsidRPr="00D329D0">
        <w:rPr>
          <w:b/>
          <w:bCs/>
          <w:sz w:val="32"/>
          <w:szCs w:val="32"/>
        </w:rPr>
        <w:t xml:space="preserve">La </w:t>
      </w:r>
      <w:r w:rsidR="003612AF" w:rsidRPr="00D329D0">
        <w:rPr>
          <w:b/>
          <w:bCs/>
          <w:sz w:val="32"/>
          <w:szCs w:val="32"/>
        </w:rPr>
        <w:t>Segunda</w:t>
      </w:r>
      <w:r w:rsidRPr="00D329D0">
        <w:rPr>
          <w:b/>
          <w:bCs/>
          <w:sz w:val="32"/>
          <w:szCs w:val="32"/>
        </w:rPr>
        <w:t xml:space="preserve"> Guerra Mundial e</w:t>
      </w:r>
      <w:r w:rsidR="00D329D0">
        <w:rPr>
          <w:b/>
          <w:bCs/>
          <w:sz w:val="32"/>
          <w:szCs w:val="32"/>
        </w:rPr>
        <w:t>xplicada</w:t>
      </w:r>
      <w:r w:rsidR="00D329D0" w:rsidRPr="00D329D0">
        <w:rPr>
          <w:b/>
          <w:bCs/>
          <w:sz w:val="32"/>
          <w:szCs w:val="32"/>
        </w:rPr>
        <w:t xml:space="preserve"> formato</w:t>
      </w:r>
      <w:r w:rsidRPr="00D329D0">
        <w:rPr>
          <w:b/>
          <w:bCs/>
          <w:sz w:val="32"/>
          <w:szCs w:val="32"/>
        </w:rPr>
        <w:t xml:space="preserve"> cómic</w:t>
      </w:r>
    </w:p>
    <w:p w14:paraId="10E7BE2F" w14:textId="0D79C5D5" w:rsidR="00111B0D" w:rsidRPr="00D329D0" w:rsidRDefault="00111B0D" w:rsidP="00812151">
      <w:pPr>
        <w:jc w:val="both"/>
        <w:rPr>
          <w:b/>
          <w:bCs/>
        </w:rPr>
      </w:pPr>
      <w:r w:rsidRPr="00D329D0">
        <w:rPr>
          <w:b/>
          <w:bCs/>
        </w:rPr>
        <w:t>El historiador Arnaud de la Croix y el dibujante Vicente Cifuentes suman talentos en una visión definitiva sobre el conflicto más devastador de la Historia de la Humanidad</w:t>
      </w:r>
    </w:p>
    <w:p w14:paraId="5A741546" w14:textId="678B7865" w:rsidR="003612AF" w:rsidRDefault="00111B0D" w:rsidP="00812151">
      <w:pPr>
        <w:jc w:val="both"/>
      </w:pPr>
      <w:r>
        <w:t xml:space="preserve">Que el cómic es un excelente vehículo para transmitir </w:t>
      </w:r>
      <w:r w:rsidR="00D15C36">
        <w:t xml:space="preserve">la Historia, es algo bien sabido por los lectores. </w:t>
      </w:r>
      <w:r w:rsidR="003612AF">
        <w:t xml:space="preserve">Desde la Prehistoria a los conflictos y retos de la actualidad, la viñeta se ha ocupado de contar el pasado de manera accesible y amena para todos los públicos. Y la Segunda Guerra Mundial, el más devastador conflicto que la Humanidad recuerda, ha sido un tema recurrente en el género. Sin embargo, </w:t>
      </w:r>
      <w:r w:rsidR="003612AF">
        <w:rPr>
          <w:i/>
          <w:iCs/>
        </w:rPr>
        <w:t>La Segunda Guerra Mundial en cómic</w:t>
      </w:r>
      <w:r w:rsidR="003612AF">
        <w:t>, la nueva obra de Arnaud de la Croix y Vicente Cifuentes recién aparecida en NORMA</w:t>
      </w:r>
      <w:r w:rsidR="00D329D0">
        <w:t xml:space="preserve"> Editorial</w:t>
      </w:r>
      <w:r w:rsidR="003612AF">
        <w:t xml:space="preserve">, no es un título más.    </w:t>
      </w:r>
    </w:p>
    <w:p w14:paraId="001200F9" w14:textId="0C1F86DE" w:rsidR="00FA3BBA" w:rsidRDefault="00FA3BBA" w:rsidP="00812151">
      <w:pPr>
        <w:jc w:val="both"/>
      </w:pPr>
      <w:r>
        <w:t xml:space="preserve">A lo largo de </w:t>
      </w:r>
      <w:r w:rsidR="00E33C53">
        <w:t xml:space="preserve">casi </w:t>
      </w:r>
      <w:r>
        <w:t xml:space="preserve">300 páginas, el historiador que se dio a conocer entre el público español con </w:t>
      </w:r>
      <w:r w:rsidRPr="00111B0D">
        <w:rPr>
          <w:i/>
          <w:iCs/>
        </w:rPr>
        <w:t>La verdadera historia de la Edad Media</w:t>
      </w:r>
      <w:r>
        <w:rPr>
          <w:i/>
          <w:iCs/>
        </w:rPr>
        <w:t xml:space="preserve"> </w:t>
      </w:r>
      <w:r>
        <w:t xml:space="preserve">y el dibujante albaceteño se proponen recorrer minuciosamente todas las claves de este periodo, estructurado en una veintena de capítulos cronológicos y temático que abarcan desde el frente europeo hasta la guerra del Pacífico. </w:t>
      </w:r>
    </w:p>
    <w:p w14:paraId="48E7AA18" w14:textId="0927F06B" w:rsidR="00FA3BBA" w:rsidRDefault="003612AF" w:rsidP="00812151">
      <w:pPr>
        <w:jc w:val="both"/>
      </w:pPr>
      <w:r>
        <w:t>L</w:t>
      </w:r>
      <w:r w:rsidR="00FA3BBA">
        <w:t xml:space="preserve">a narración empieza a </w:t>
      </w:r>
      <w:r>
        <w:t xml:space="preserve">partir de 1921, </w:t>
      </w:r>
      <w:r w:rsidR="00FA3BBA">
        <w:t>explicando</w:t>
      </w:r>
      <w:r>
        <w:t xml:space="preserve"> las consecuencias del Tratado de Versalles</w:t>
      </w:r>
      <w:r w:rsidR="00E71CAD">
        <w:t xml:space="preserve"> y las humillantes condiciones en las que queda la gran perdedora de la Gran Guerra, Alemania.</w:t>
      </w:r>
      <w:r>
        <w:t xml:space="preserve"> </w:t>
      </w:r>
      <w:r w:rsidR="00E71CAD">
        <w:t>A</w:t>
      </w:r>
      <w:r>
        <w:t xml:space="preserve">unque se haya firmado la paz, muchos conflictos </w:t>
      </w:r>
      <w:r w:rsidR="00E71CAD">
        <w:t xml:space="preserve">larvados </w:t>
      </w:r>
      <w:r>
        <w:t xml:space="preserve">siguen gestándose y seguirán haciéndolo hasta los Juicios de Nuremberg. </w:t>
      </w:r>
    </w:p>
    <w:p w14:paraId="7CD06413" w14:textId="3EB175CB" w:rsidR="00E33C53" w:rsidRDefault="00E33C53" w:rsidP="00812151">
      <w:pPr>
        <w:jc w:val="both"/>
      </w:pPr>
      <w:r>
        <w:t>Así, De la Croix y Cifuentes se centran en una veintena de episodios organizados cronológicamente</w:t>
      </w:r>
      <w:r w:rsidR="003612AF">
        <w:t>, que abarcan desde el frente europeo hasta la guerra en el Pacífico.</w:t>
      </w:r>
      <w:r>
        <w:t xml:space="preserve"> Y no solo a través de los escenarios de los choques armados, sino introduciéndose en los despachos de los estados mayores y los ministerios. </w:t>
      </w:r>
    </w:p>
    <w:p w14:paraId="35B640F9" w14:textId="3E70275D" w:rsidR="00E71CAD" w:rsidRDefault="00E33C53" w:rsidP="00812151">
      <w:pPr>
        <w:jc w:val="both"/>
      </w:pPr>
      <w:r>
        <w:t xml:space="preserve">El lector se asomará así, a través de una ventana de enorme fuerza gráfica e irresistible sabor de época, a </w:t>
      </w:r>
      <w:r w:rsidRPr="00E71CAD">
        <w:t xml:space="preserve">la </w:t>
      </w:r>
      <w:r>
        <w:t>vida</w:t>
      </w:r>
      <w:r w:rsidRPr="00E71CAD">
        <w:t xml:space="preserve"> de la Europa de entreguerras, el </w:t>
      </w:r>
      <w:r>
        <w:t>auge</w:t>
      </w:r>
      <w:r w:rsidRPr="00E71CAD">
        <w:t xml:space="preserve"> de los fascismos en Italia y Alemania, la llegada a la cancillería alemana de Adolf Hitler</w:t>
      </w:r>
      <w:r>
        <w:t xml:space="preserve"> o</w:t>
      </w:r>
      <w:r w:rsidRPr="00E71CAD">
        <w:t xml:space="preserve"> la política de tolerancia de Francia y Gran Bretaña que posibilitó el hundimiento de la república española y la invasión de Austria y Polonia. </w:t>
      </w:r>
      <w:r>
        <w:t>De</w:t>
      </w:r>
      <w:r w:rsidRPr="00E71CAD">
        <w:t xml:space="preserve"> Europa</w:t>
      </w:r>
      <w:r>
        <w:t xml:space="preserve"> a</w:t>
      </w:r>
      <w:r w:rsidRPr="00E71CAD">
        <w:t>l norte de África o el Pacífico</w:t>
      </w:r>
      <w:r>
        <w:t>, analiza asimismo</w:t>
      </w:r>
      <w:r w:rsidRPr="00E71CAD">
        <w:t xml:space="preserve"> las relaciones cambiantes entre Hitler y Stalin; examina la irrupción de Estados Unidos en la contienda tras el bombardeo de Pearl </w:t>
      </w:r>
      <w:proofErr w:type="spellStart"/>
      <w:r w:rsidRPr="00E71CAD">
        <w:t>Harbour</w:t>
      </w:r>
      <w:proofErr w:type="spellEnd"/>
      <w:r w:rsidRPr="00E71CAD">
        <w:t xml:space="preserve">; atiende al progresivo desgaste del ejército alemán, atascado en el frente ruso, y también al progresivo despliegue bélico de las potencias occidentales, así como al abrupto final de la guerra con la destrucción de Hiroshima y Nagasaki, que dio inicio a la era atómica y que insinuó ya la nueva guerra que estaba por llegar: la Guerra Fría. </w:t>
      </w:r>
      <w:r>
        <w:t xml:space="preserve">Un asombroso viaje en el tiempo que nos hace entender mejor, también, el mundo en que vivimos. </w:t>
      </w:r>
    </w:p>
    <w:p w14:paraId="67390BDE" w14:textId="6DC5C26A" w:rsidR="00A016BA" w:rsidRPr="00A016BA" w:rsidRDefault="00A016BA" w:rsidP="00812151">
      <w:pPr>
        <w:jc w:val="both"/>
        <w:rPr>
          <w:b/>
          <w:bCs/>
        </w:rPr>
      </w:pPr>
      <w:r w:rsidRPr="00A016BA">
        <w:rPr>
          <w:b/>
          <w:bCs/>
        </w:rPr>
        <w:lastRenderedPageBreak/>
        <w:t>Sobre los autores</w:t>
      </w:r>
    </w:p>
    <w:p w14:paraId="28EE8F1D" w14:textId="6D72D863" w:rsidR="00A016BA" w:rsidRPr="00A016BA" w:rsidRDefault="00A016BA" w:rsidP="00812151">
      <w:pPr>
        <w:jc w:val="both"/>
        <w:rPr>
          <w:b/>
          <w:bCs/>
        </w:rPr>
      </w:pPr>
      <w:r w:rsidRPr="00A016BA">
        <w:rPr>
          <w:b/>
          <w:bCs/>
        </w:rPr>
        <w:t>Arnaud de la Croix</w:t>
      </w:r>
    </w:p>
    <w:p w14:paraId="75ABE3F8" w14:textId="35027D3B" w:rsidR="00A016BA" w:rsidRDefault="00111B0D" w:rsidP="00812151">
      <w:pPr>
        <w:jc w:val="both"/>
      </w:pPr>
      <w:r w:rsidRPr="00111B0D">
        <w:t xml:space="preserve">Nacido en Bruselas, es filósofo de formación e historiador por pasión. Se aficionó a la Edad Media leyendo </w:t>
      </w:r>
      <w:r w:rsidRPr="00111B0D">
        <w:rPr>
          <w:i/>
          <w:iCs/>
        </w:rPr>
        <w:t xml:space="preserve">Les Rois </w:t>
      </w:r>
      <w:proofErr w:type="spellStart"/>
      <w:r w:rsidRPr="00111B0D">
        <w:rPr>
          <w:i/>
          <w:iCs/>
        </w:rPr>
        <w:t>maudits</w:t>
      </w:r>
      <w:proofErr w:type="spellEnd"/>
      <w:r w:rsidRPr="00111B0D">
        <w:t xml:space="preserve">. </w:t>
      </w:r>
      <w:r w:rsidRPr="003919F4">
        <w:rPr>
          <w:lang w:val="fr-FR"/>
        </w:rPr>
        <w:t xml:space="preserve">Ha </w:t>
      </w:r>
      <w:proofErr w:type="spellStart"/>
      <w:r w:rsidRPr="003919F4">
        <w:rPr>
          <w:lang w:val="fr-FR"/>
        </w:rPr>
        <w:t>escrito</w:t>
      </w:r>
      <w:proofErr w:type="spellEnd"/>
      <w:r w:rsidRPr="003919F4">
        <w:rPr>
          <w:lang w:val="fr-FR"/>
        </w:rPr>
        <w:t xml:space="preserve"> </w:t>
      </w:r>
      <w:proofErr w:type="spellStart"/>
      <w:r w:rsidRPr="003919F4">
        <w:rPr>
          <w:lang w:val="fr-FR"/>
        </w:rPr>
        <w:t>varios</w:t>
      </w:r>
      <w:proofErr w:type="spellEnd"/>
      <w:r w:rsidRPr="003919F4">
        <w:rPr>
          <w:lang w:val="fr-FR"/>
        </w:rPr>
        <w:t xml:space="preserve"> best-sellers sobre el </w:t>
      </w:r>
      <w:proofErr w:type="spellStart"/>
      <w:r w:rsidRPr="003919F4">
        <w:rPr>
          <w:lang w:val="fr-FR"/>
        </w:rPr>
        <w:t>tema</w:t>
      </w:r>
      <w:proofErr w:type="spellEnd"/>
      <w:r w:rsidRPr="003919F4">
        <w:rPr>
          <w:lang w:val="fr-FR"/>
        </w:rPr>
        <w:t xml:space="preserve">, entre </w:t>
      </w:r>
      <w:proofErr w:type="spellStart"/>
      <w:r w:rsidRPr="003919F4">
        <w:rPr>
          <w:lang w:val="fr-FR"/>
        </w:rPr>
        <w:t>ellos</w:t>
      </w:r>
      <w:proofErr w:type="spellEnd"/>
      <w:r w:rsidRPr="003919F4">
        <w:rPr>
          <w:lang w:val="fr-FR"/>
        </w:rPr>
        <w:t xml:space="preserve"> </w:t>
      </w:r>
      <w:r w:rsidRPr="003919F4">
        <w:rPr>
          <w:i/>
          <w:iCs/>
          <w:lang w:val="fr-FR"/>
        </w:rPr>
        <w:t>Les Templiers, chevaliers du Christ ou hérétiques y L'Érotisme au Moyen Âge</w:t>
      </w:r>
      <w:r w:rsidRPr="003919F4">
        <w:rPr>
          <w:lang w:val="fr-FR"/>
        </w:rPr>
        <w:t xml:space="preserve">, </w:t>
      </w:r>
      <w:proofErr w:type="spellStart"/>
      <w:r w:rsidRPr="003919F4">
        <w:rPr>
          <w:lang w:val="fr-FR"/>
        </w:rPr>
        <w:t>publicados</w:t>
      </w:r>
      <w:proofErr w:type="spellEnd"/>
      <w:r w:rsidRPr="003919F4">
        <w:rPr>
          <w:lang w:val="fr-FR"/>
        </w:rPr>
        <w:t xml:space="preserve"> </w:t>
      </w:r>
      <w:proofErr w:type="spellStart"/>
      <w:r w:rsidRPr="003919F4">
        <w:rPr>
          <w:lang w:val="fr-FR"/>
        </w:rPr>
        <w:t>por</w:t>
      </w:r>
      <w:proofErr w:type="spellEnd"/>
      <w:r w:rsidRPr="003919F4">
        <w:rPr>
          <w:lang w:val="fr-FR"/>
        </w:rPr>
        <w:t xml:space="preserve"> Éditions Tallandier y </w:t>
      </w:r>
      <w:proofErr w:type="spellStart"/>
      <w:r w:rsidRPr="003919F4">
        <w:rPr>
          <w:lang w:val="fr-FR"/>
        </w:rPr>
        <w:t>traducidos</w:t>
      </w:r>
      <w:proofErr w:type="spellEnd"/>
      <w:r w:rsidRPr="003919F4">
        <w:rPr>
          <w:lang w:val="fr-FR"/>
        </w:rPr>
        <w:t xml:space="preserve"> a </w:t>
      </w:r>
      <w:proofErr w:type="spellStart"/>
      <w:r w:rsidRPr="003919F4">
        <w:rPr>
          <w:lang w:val="fr-FR"/>
        </w:rPr>
        <w:t>diez</w:t>
      </w:r>
      <w:proofErr w:type="spellEnd"/>
      <w:r w:rsidRPr="003919F4">
        <w:rPr>
          <w:lang w:val="fr-FR"/>
        </w:rPr>
        <w:t xml:space="preserve"> </w:t>
      </w:r>
      <w:proofErr w:type="spellStart"/>
      <w:r w:rsidRPr="003919F4">
        <w:rPr>
          <w:lang w:val="fr-FR"/>
        </w:rPr>
        <w:t>idiomas</w:t>
      </w:r>
      <w:proofErr w:type="spellEnd"/>
      <w:r w:rsidRPr="003919F4">
        <w:rPr>
          <w:lang w:val="fr-FR"/>
        </w:rPr>
        <w:t xml:space="preserve">. </w:t>
      </w:r>
      <w:r w:rsidRPr="00111B0D">
        <w:t xml:space="preserve">En los últimos años, sus investigaciones se han centrado en las sociedades secretas: su </w:t>
      </w:r>
      <w:r w:rsidRPr="00111B0D">
        <w:rPr>
          <w:i/>
          <w:iCs/>
        </w:rPr>
        <w:t xml:space="preserve">Hitler et la </w:t>
      </w:r>
      <w:proofErr w:type="spellStart"/>
      <w:r w:rsidRPr="00111B0D">
        <w:rPr>
          <w:i/>
          <w:iCs/>
        </w:rPr>
        <w:t>franc-maçonnerie</w:t>
      </w:r>
      <w:proofErr w:type="spellEnd"/>
      <w:r w:rsidRPr="00111B0D">
        <w:t xml:space="preserve"> es una obra de referencia, al igual que su investigación sobre </w:t>
      </w:r>
      <w:r w:rsidRPr="00111B0D">
        <w:rPr>
          <w:i/>
          <w:iCs/>
        </w:rPr>
        <w:t xml:space="preserve">Les </w:t>
      </w:r>
      <w:proofErr w:type="spellStart"/>
      <w:r w:rsidRPr="00111B0D">
        <w:rPr>
          <w:i/>
          <w:iCs/>
        </w:rPr>
        <w:t>Illuminati</w:t>
      </w:r>
      <w:proofErr w:type="spellEnd"/>
      <w:r w:rsidRPr="00111B0D">
        <w:t>. Cuando no escribe, practica el tiro con arco largo y cultiva una afición desmesurada por los cómics.</w:t>
      </w:r>
    </w:p>
    <w:p w14:paraId="631F99BA" w14:textId="36B64779" w:rsidR="00111B0D" w:rsidRDefault="00111B0D" w:rsidP="00812151">
      <w:pPr>
        <w:jc w:val="both"/>
      </w:pPr>
      <w:r>
        <w:t>Ha publicado en NORMA</w:t>
      </w:r>
      <w:r w:rsidR="00D329D0">
        <w:t xml:space="preserve"> Editorial</w:t>
      </w:r>
      <w:r>
        <w:t xml:space="preserve"> </w:t>
      </w:r>
      <w:r w:rsidRPr="00111B0D">
        <w:rPr>
          <w:i/>
          <w:iCs/>
        </w:rPr>
        <w:t>La verdadera historia de la Edad Media</w:t>
      </w:r>
      <w:r>
        <w:t xml:space="preserve"> y </w:t>
      </w:r>
      <w:r w:rsidRPr="00111B0D">
        <w:rPr>
          <w:i/>
          <w:iCs/>
        </w:rPr>
        <w:t xml:space="preserve">La </w:t>
      </w:r>
      <w:r w:rsidR="003612AF">
        <w:rPr>
          <w:i/>
          <w:iCs/>
        </w:rPr>
        <w:t>Segunda</w:t>
      </w:r>
      <w:r w:rsidRPr="00111B0D">
        <w:rPr>
          <w:i/>
          <w:iCs/>
        </w:rPr>
        <w:t xml:space="preserve"> Guerra Mundial en cómic</w:t>
      </w:r>
      <w:r>
        <w:t xml:space="preserve">. </w:t>
      </w:r>
    </w:p>
    <w:p w14:paraId="5EA5FF14" w14:textId="77777777" w:rsidR="00111B0D" w:rsidRPr="00111B0D" w:rsidRDefault="00111B0D" w:rsidP="00812151">
      <w:pPr>
        <w:jc w:val="both"/>
      </w:pPr>
    </w:p>
    <w:p w14:paraId="15FA13B5" w14:textId="1AD9AEFC" w:rsidR="00A016BA" w:rsidRDefault="00A016BA" w:rsidP="00812151">
      <w:pPr>
        <w:jc w:val="both"/>
        <w:rPr>
          <w:b/>
          <w:bCs/>
        </w:rPr>
      </w:pPr>
      <w:r w:rsidRPr="00A016BA">
        <w:rPr>
          <w:b/>
          <w:bCs/>
        </w:rPr>
        <w:t>Vicente Cifuentes</w:t>
      </w:r>
    </w:p>
    <w:p w14:paraId="4C114CAE" w14:textId="76D7FA76" w:rsidR="00111B0D" w:rsidRPr="00111B0D" w:rsidRDefault="00111B0D" w:rsidP="00812151">
      <w:pPr>
        <w:jc w:val="both"/>
      </w:pPr>
      <w:r w:rsidRPr="00111B0D">
        <w:t xml:space="preserve">(Albacete, 1979) dibujante que debutó en varios fanzines locales hasta que comenzó su carrera profesional realizando diversas historias </w:t>
      </w:r>
      <w:proofErr w:type="spellStart"/>
      <w:r w:rsidRPr="00111B0D">
        <w:t>autoconclusivas</w:t>
      </w:r>
      <w:proofErr w:type="spellEnd"/>
      <w:r w:rsidRPr="00111B0D">
        <w:t xml:space="preserve"> como Los cazadores de vientos (1999), Alise (2000), </w:t>
      </w:r>
      <w:r w:rsidR="00812151" w:rsidRPr="00111B0D">
        <w:t>además</w:t>
      </w:r>
      <w:r w:rsidRPr="00111B0D">
        <w:t xml:space="preserve"> de la serie </w:t>
      </w:r>
      <w:proofErr w:type="spellStart"/>
      <w:r w:rsidRPr="00111B0D">
        <w:t>Ursula</w:t>
      </w:r>
      <w:proofErr w:type="spellEnd"/>
      <w:r w:rsidRPr="00111B0D">
        <w:t xml:space="preserve"> Aprende (1999-2000).</w:t>
      </w:r>
    </w:p>
    <w:p w14:paraId="71371338" w14:textId="07578559" w:rsidR="00111B0D" w:rsidRPr="00111B0D" w:rsidRDefault="00111B0D" w:rsidP="00812151">
      <w:pPr>
        <w:jc w:val="both"/>
      </w:pPr>
      <w:r w:rsidRPr="00111B0D">
        <w:t xml:space="preserve">En 2006 comenzó a trabajar para editoriales </w:t>
      </w:r>
      <w:r w:rsidR="00D329D0">
        <w:t xml:space="preserve">de los </w:t>
      </w:r>
      <w:r w:rsidRPr="00111B0D">
        <w:t>EE UU</w:t>
      </w:r>
      <w:r w:rsidR="00D329D0">
        <w:t xml:space="preserve"> como</w:t>
      </w:r>
      <w:r w:rsidRPr="00111B0D">
        <w:t>, DC Comics y Marvel como entintador.</w:t>
      </w:r>
      <w:r>
        <w:t xml:space="preserve"> </w:t>
      </w:r>
      <w:r w:rsidRPr="00111B0D">
        <w:t xml:space="preserve">Algunas de sus obras más recientes para el mercado español son </w:t>
      </w:r>
      <w:r w:rsidRPr="00D329D0">
        <w:rPr>
          <w:i/>
          <w:iCs/>
        </w:rPr>
        <w:t xml:space="preserve">Reyes Elfos: </w:t>
      </w:r>
      <w:proofErr w:type="spellStart"/>
      <w:r w:rsidRPr="00D329D0">
        <w:rPr>
          <w:i/>
          <w:iCs/>
        </w:rPr>
        <w:t>Glirenn</w:t>
      </w:r>
      <w:proofErr w:type="spellEnd"/>
      <w:r w:rsidRPr="00D329D0">
        <w:rPr>
          <w:i/>
          <w:iCs/>
        </w:rPr>
        <w:t xml:space="preserve"> </w:t>
      </w:r>
      <w:r w:rsidRPr="00111B0D">
        <w:t xml:space="preserve">(Dolmen, 2009) guionizado por </w:t>
      </w:r>
      <w:proofErr w:type="spellStart"/>
      <w:r w:rsidRPr="00111B0D">
        <w:t>Victor</w:t>
      </w:r>
      <w:proofErr w:type="spellEnd"/>
      <w:r w:rsidRPr="00111B0D">
        <w:t xml:space="preserve"> Santos, dos </w:t>
      </w:r>
      <w:r w:rsidR="00D329D0" w:rsidRPr="00111B0D">
        <w:t>números</w:t>
      </w:r>
      <w:r w:rsidRPr="00111B0D">
        <w:t xml:space="preserve"> de </w:t>
      </w:r>
      <w:proofErr w:type="spellStart"/>
      <w:r w:rsidRPr="00D329D0">
        <w:rPr>
          <w:i/>
          <w:iCs/>
        </w:rPr>
        <w:t>Crepusculón</w:t>
      </w:r>
      <w:proofErr w:type="spellEnd"/>
      <w:r w:rsidRPr="00111B0D">
        <w:t xml:space="preserve"> (</w:t>
      </w:r>
      <w:proofErr w:type="spellStart"/>
      <w:r w:rsidRPr="00111B0D">
        <w:t>Panini</w:t>
      </w:r>
      <w:proofErr w:type="spellEnd"/>
      <w:r w:rsidRPr="00111B0D">
        <w:t>, 2009) con gui</w:t>
      </w:r>
      <w:r w:rsidR="00D329D0">
        <w:t>o</w:t>
      </w:r>
      <w:r w:rsidRPr="00111B0D">
        <w:t xml:space="preserve">n de Pepe Caldelas, </w:t>
      </w:r>
      <w:r w:rsidRPr="00D329D0">
        <w:rPr>
          <w:i/>
          <w:iCs/>
        </w:rPr>
        <w:t>Señales: Sandra</w:t>
      </w:r>
      <w:r w:rsidRPr="00111B0D">
        <w:t xml:space="preserve"> (</w:t>
      </w:r>
      <w:proofErr w:type="spellStart"/>
      <w:r w:rsidRPr="00111B0D">
        <w:t>Dibbuks</w:t>
      </w:r>
      <w:proofErr w:type="spellEnd"/>
      <w:r w:rsidRPr="00111B0D">
        <w:t xml:space="preserve">, 2010) como autor completo y dos obras de nuevo con guiones de </w:t>
      </w:r>
      <w:proofErr w:type="spellStart"/>
      <w:r w:rsidRPr="00D329D0">
        <w:rPr>
          <w:i/>
          <w:iCs/>
        </w:rPr>
        <w:t>Fideu</w:t>
      </w:r>
      <w:proofErr w:type="spellEnd"/>
      <w:r w:rsidRPr="00D329D0">
        <w:rPr>
          <w:i/>
          <w:iCs/>
        </w:rPr>
        <w:t>: Alma</w:t>
      </w:r>
      <w:r w:rsidRPr="00111B0D">
        <w:t xml:space="preserve"> (Planeta, 2009) y </w:t>
      </w:r>
      <w:r w:rsidRPr="00D329D0">
        <w:rPr>
          <w:i/>
          <w:iCs/>
        </w:rPr>
        <w:t>La Logia de los soñadores</w:t>
      </w:r>
      <w:r w:rsidRPr="00111B0D">
        <w:t xml:space="preserve"> (Dolmen, 2010).</w:t>
      </w:r>
    </w:p>
    <w:p w14:paraId="68E95163" w14:textId="07AB6330" w:rsidR="00111B0D" w:rsidRPr="00111B0D" w:rsidRDefault="00111B0D" w:rsidP="00812151">
      <w:pPr>
        <w:jc w:val="both"/>
      </w:pPr>
      <w:r>
        <w:t>También h</w:t>
      </w:r>
      <w:r w:rsidRPr="00111B0D">
        <w:t xml:space="preserve">a publicado junto a </w:t>
      </w:r>
      <w:proofErr w:type="spellStart"/>
      <w:r w:rsidRPr="00111B0D">
        <w:t>El</w:t>
      </w:r>
      <w:proofErr w:type="spellEnd"/>
      <w:r w:rsidRPr="00111B0D">
        <w:t xml:space="preserve"> Torres, </w:t>
      </w:r>
      <w:proofErr w:type="spellStart"/>
      <w:r w:rsidRPr="00111B0D">
        <w:rPr>
          <w:i/>
          <w:iCs/>
        </w:rPr>
        <w:t>Whodunnit</w:t>
      </w:r>
      <w:proofErr w:type="spellEnd"/>
      <w:r w:rsidRPr="00111B0D">
        <w:rPr>
          <w:i/>
          <w:iCs/>
        </w:rPr>
        <w:t>?</w:t>
      </w:r>
      <w:r>
        <w:t xml:space="preserve"> Su última obra es </w:t>
      </w:r>
      <w:r w:rsidRPr="00111B0D">
        <w:rPr>
          <w:i/>
          <w:iCs/>
        </w:rPr>
        <w:t xml:space="preserve">La </w:t>
      </w:r>
      <w:r w:rsidR="003612AF">
        <w:rPr>
          <w:i/>
          <w:iCs/>
        </w:rPr>
        <w:t>Segunda</w:t>
      </w:r>
      <w:r w:rsidRPr="00111B0D">
        <w:rPr>
          <w:i/>
          <w:iCs/>
        </w:rPr>
        <w:t xml:space="preserve"> Guerra Mundial en cómic</w:t>
      </w:r>
      <w:r>
        <w:t>, junto a Arnaud de la Croix.</w:t>
      </w:r>
    </w:p>
    <w:p w14:paraId="66BC2386" w14:textId="77777777" w:rsidR="00111B0D" w:rsidRDefault="00111B0D">
      <w:pPr>
        <w:rPr>
          <w:b/>
          <w:bCs/>
        </w:rPr>
      </w:pPr>
    </w:p>
    <w:p w14:paraId="63168FE3" w14:textId="0008429D" w:rsidR="00D329D0" w:rsidRDefault="00D329D0">
      <w:r>
        <w:rPr>
          <w:b/>
          <w:bCs/>
        </w:rPr>
        <w:t>Datos técnicos</w:t>
      </w:r>
    </w:p>
    <w:p w14:paraId="5B717ED7" w14:textId="77777777" w:rsidR="00D329D0" w:rsidRDefault="00D329D0" w:rsidP="00D329D0">
      <w:pPr>
        <w:pStyle w:val="Sinespaciado"/>
      </w:pPr>
      <w:r>
        <w:t>Cartoné</w:t>
      </w:r>
    </w:p>
    <w:p w14:paraId="442F6577" w14:textId="1F866469" w:rsidR="00D329D0" w:rsidRDefault="00D329D0" w:rsidP="00D329D0">
      <w:pPr>
        <w:pStyle w:val="Sinespaciado"/>
      </w:pPr>
      <w:r>
        <w:t>19,5 x 26</w:t>
      </w:r>
      <w:r>
        <w:t xml:space="preserve"> cm</w:t>
      </w:r>
    </w:p>
    <w:p w14:paraId="638674C3" w14:textId="0BE6AC88" w:rsidR="00D329D0" w:rsidRDefault="00D329D0" w:rsidP="00D329D0">
      <w:pPr>
        <w:pStyle w:val="Sinespaciado"/>
      </w:pPr>
      <w:r>
        <w:t>296</w:t>
      </w:r>
      <w:r>
        <w:t xml:space="preserve"> págs.</w:t>
      </w:r>
      <w:r>
        <w:t xml:space="preserve"> BN</w:t>
      </w:r>
    </w:p>
    <w:p w14:paraId="308F1200" w14:textId="12976856" w:rsidR="00D329D0" w:rsidRDefault="00D329D0" w:rsidP="00D329D0">
      <w:pPr>
        <w:pStyle w:val="Sinespaciado"/>
      </w:pPr>
      <w:r>
        <w:t>ISBN</w:t>
      </w:r>
      <w:r>
        <w:t xml:space="preserve">: </w:t>
      </w:r>
      <w:r>
        <w:t>978-84-679-7613-7</w:t>
      </w:r>
    </w:p>
    <w:p w14:paraId="33666AEC" w14:textId="3D3CAE61" w:rsidR="00D329D0" w:rsidRPr="00D329D0" w:rsidRDefault="00D329D0" w:rsidP="00D329D0">
      <w:pPr>
        <w:pStyle w:val="Sinespaciado"/>
      </w:pPr>
      <w:r>
        <w:t>PVP</w:t>
      </w:r>
      <w:r>
        <w:t xml:space="preserve">: </w:t>
      </w:r>
      <w:r>
        <w:t>35,00 €</w:t>
      </w:r>
    </w:p>
    <w:sectPr w:rsidR="00D329D0" w:rsidRPr="00D329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BA"/>
    <w:rsid w:val="00111B0D"/>
    <w:rsid w:val="00132E47"/>
    <w:rsid w:val="00203FB0"/>
    <w:rsid w:val="00310AC0"/>
    <w:rsid w:val="003612AF"/>
    <w:rsid w:val="003919F4"/>
    <w:rsid w:val="00525156"/>
    <w:rsid w:val="00812151"/>
    <w:rsid w:val="009C4A4C"/>
    <w:rsid w:val="00A016BA"/>
    <w:rsid w:val="00D15C36"/>
    <w:rsid w:val="00D329D0"/>
    <w:rsid w:val="00E33C53"/>
    <w:rsid w:val="00E71CAD"/>
    <w:rsid w:val="00FA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9"/>
  <w15:chartTrackingRefBased/>
  <w15:docId w15:val="{1DE02C68-5ACA-4EEF-A976-EE1CB0A4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016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016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16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016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016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016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016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016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016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16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016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16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016B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016B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016B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016B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016B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016B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016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01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016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016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016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016B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016B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016B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016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016B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016BA"/>
    <w:rPr>
      <w:b/>
      <w:bCs/>
      <w:smallCaps/>
      <w:color w:val="0F4761" w:themeColor="accent1" w:themeShade="BF"/>
      <w:spacing w:val="5"/>
    </w:rPr>
  </w:style>
  <w:style w:type="character" w:styleId="Refdecomentario">
    <w:name w:val="annotation reference"/>
    <w:basedOn w:val="Fuentedeprrafopredeter"/>
    <w:uiPriority w:val="99"/>
    <w:semiHidden/>
    <w:unhideWhenUsed/>
    <w:rsid w:val="003919F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919F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919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19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19F4"/>
    <w:rPr>
      <w:b/>
      <w:bCs/>
      <w:sz w:val="20"/>
      <w:szCs w:val="20"/>
    </w:rPr>
  </w:style>
  <w:style w:type="paragraph" w:styleId="Sinespaciado">
    <w:name w:val="No Spacing"/>
    <w:uiPriority w:val="1"/>
    <w:qFormat/>
    <w:rsid w:val="00D329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694</Words>
  <Characters>3822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5</cp:revision>
  <dcterms:created xsi:type="dcterms:W3CDTF">2025-03-24T19:28:00Z</dcterms:created>
  <dcterms:modified xsi:type="dcterms:W3CDTF">2025-04-16T07:48:00Z</dcterms:modified>
</cp:coreProperties>
</file>